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both"/>
        <w:rPr>
          <w:rFonts w:ascii="Arial" w:cs="Arial" w:eastAsia="Arial" w:hAnsi="Arial"/>
          <w:sz w:val="24"/>
          <w:szCs w:val="24"/>
        </w:rPr>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567" w:top="709" w:left="1134" w:right="1134" w:header="426" w:footer="709"/>
          <w:pgNumType w:start="1"/>
        </w:sectPr>
      </w:pPr>
      <w:r w:rsidDel="00000000" w:rsidR="00000000" w:rsidRPr="00000000">
        <w:rPr>
          <w:rtl w:val="0"/>
        </w:rPr>
      </w:r>
    </w:p>
    <w:p w:rsidR="00000000" w:rsidDel="00000000" w:rsidP="00000000" w:rsidRDefault="00000000" w:rsidRPr="00000000" w14:paraId="00000002">
      <w:pPr>
        <w:tabs>
          <w:tab w:val="center" w:leader="none" w:pos="4816"/>
        </w:tabs>
        <w:jc w:val="both"/>
        <w:rPr>
          <w:rFonts w:ascii="Arial" w:cs="Arial" w:eastAsia="Arial" w:hAnsi="Arial"/>
          <w:b w:val="1"/>
        </w:rPr>
      </w:pPr>
      <w:r w:rsidDel="00000000" w:rsidR="00000000" w:rsidRPr="00000000">
        <w:rPr>
          <w:rFonts w:ascii="Arial" w:cs="Arial" w:eastAsia="Arial" w:hAnsi="Arial"/>
          <w:b w:val="1"/>
          <w:sz w:val="24"/>
          <w:szCs w:val="24"/>
          <w:rtl w:val="0"/>
        </w:rPr>
        <w:t xml:space="preserve">Ti-Sourire en Haïti ASBL</w:t>
      </w:r>
      <w:r w:rsidDel="00000000" w:rsidR="00000000" w:rsidRPr="00000000">
        <w:rPr>
          <w:rFonts w:ascii="Arial" w:cs="Arial" w:eastAsia="Arial" w:hAnsi="Arial"/>
          <w:b w:val="1"/>
          <w:rtl w:val="0"/>
        </w:rPr>
        <w:tab/>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Association Sans But Lucratif</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70, rue du Docteur Elie Lambotte</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1030 Bruxelles, Belgique</w:t>
      </w:r>
    </w:p>
    <w:p w:rsidR="00000000" w:rsidDel="00000000" w:rsidP="00000000" w:rsidRDefault="00000000" w:rsidRPr="00000000" w14:paraId="00000006">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Procès-verbal de l’assemblée générale ordinaire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tenue au </w:t>
      </w:r>
      <w:r w:rsidDel="00000000" w:rsidR="00000000" w:rsidRPr="00000000">
        <w:rPr>
          <w:rFonts w:ascii="Arial" w:cs="Arial" w:eastAsia="Arial" w:hAnsi="Arial"/>
          <w:b w:val="1"/>
          <w:sz w:val="24"/>
          <w:szCs w:val="24"/>
          <w:rtl w:val="0"/>
        </w:rPr>
        <w:t xml:space="preserve">28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Avenue </w:t>
      </w:r>
      <w:r w:rsidDel="00000000" w:rsidR="00000000" w:rsidRPr="00000000">
        <w:rPr>
          <w:rFonts w:ascii="Arial" w:cs="Arial" w:eastAsia="Arial" w:hAnsi="Arial"/>
          <w:b w:val="1"/>
          <w:sz w:val="24"/>
          <w:szCs w:val="24"/>
          <w:rtl w:val="0"/>
        </w:rPr>
        <w:t xml:space="preserve">Hamoir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w:t>
      </w:r>
      <w:r w:rsidDel="00000000" w:rsidR="00000000" w:rsidRPr="00000000">
        <w:rPr>
          <w:rFonts w:ascii="Arial" w:cs="Arial" w:eastAsia="Arial" w:hAnsi="Arial"/>
          <w:b w:val="1"/>
          <w:sz w:val="24"/>
          <w:szCs w:val="24"/>
          <w:rtl w:val="0"/>
        </w:rPr>
        <w:t xml:space="preserve">18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 Bruxelles</w:t>
      </w:r>
    </w:p>
    <w:p w:rsidR="00000000" w:rsidDel="00000000" w:rsidP="00000000" w:rsidRDefault="00000000" w:rsidRPr="00000000" w14:paraId="0000000B">
      <w:pPr>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 </w:t>
      </w:r>
      <w:r w:rsidDel="00000000" w:rsidR="00000000" w:rsidRPr="00000000">
        <w:rPr>
          <w:rFonts w:ascii="Arial" w:cs="Arial" w:eastAsia="Arial" w:hAnsi="Arial"/>
          <w:b w:val="1"/>
          <w:sz w:val="24"/>
          <w:szCs w:val="24"/>
          <w:rtl w:val="0"/>
        </w:rPr>
        <w:t xml:space="preserve">18</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juillet </w:t>
      </w:r>
      <w:r w:rsidDel="00000000" w:rsidR="00000000" w:rsidRPr="00000000">
        <w:rPr>
          <w:rFonts w:ascii="Arial" w:cs="Arial" w:eastAsia="Arial" w:hAnsi="Arial"/>
          <w:b w:val="1"/>
          <w:color w:val="000000"/>
          <w:sz w:val="24"/>
          <w:szCs w:val="24"/>
          <w:rtl w:val="0"/>
        </w:rPr>
        <w:t xml:space="preserve">202</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 à 1</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b w:val="1"/>
          <w:color w:val="000000"/>
          <w:sz w:val="24"/>
          <w:szCs w:val="24"/>
          <w:rtl w:val="0"/>
        </w:rPr>
        <w:t xml:space="preserve">h00</w:t>
      </w:r>
    </w:p>
    <w:p w:rsidR="00000000" w:rsidDel="00000000" w:rsidP="00000000" w:rsidRDefault="00000000" w:rsidRPr="00000000" w14:paraId="0000000C">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président chargé de présider la séance est Claudio GUTHMANN.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secrétaire chargée de la rédaction du procès-verbal est Magali HORBERT.</w:t>
      </w:r>
    </w:p>
    <w:p w:rsidR="00000000" w:rsidDel="00000000" w:rsidP="00000000" w:rsidRDefault="00000000" w:rsidRPr="00000000" w14:paraId="0000000F">
      <w:pPr>
        <w:spacing w:after="120" w:lineRule="auto"/>
        <w:jc w:val="both"/>
        <w:rPr>
          <w:rFonts w:ascii="Arial" w:cs="Arial" w:eastAsia="Arial" w:hAnsi="Arial"/>
          <w:sz w:val="24"/>
          <w:szCs w:val="24"/>
        </w:rPr>
      </w:pPr>
      <w:r w:rsidDel="00000000" w:rsidR="00000000" w:rsidRPr="00000000">
        <w:rPr>
          <w:rtl w:val="0"/>
        </w:rPr>
      </w:r>
    </w:p>
    <w:tbl>
      <w:tblPr>
        <w:tblStyle w:val="Table1"/>
        <w:tblW w:w="1159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5"/>
        <w:gridCol w:w="5790"/>
        <w:tblGridChange w:id="0">
          <w:tblGrid>
            <w:gridCol w:w="5805"/>
            <w:gridCol w:w="5790"/>
          </w:tblGrid>
        </w:tblGridChange>
      </w:tblGrid>
      <w:tr>
        <w:trPr>
          <w:cantSplit w:val="0"/>
          <w:tblHeader w:val="0"/>
        </w:trPr>
        <w:tc>
          <w:tcPr/>
          <w:p w:rsidR="00000000" w:rsidDel="00000000" w:rsidP="00000000" w:rsidRDefault="00000000" w:rsidRPr="00000000" w14:paraId="00000010">
            <w:pPr>
              <w:spacing w:after="12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Présents :</w:t>
            </w:r>
          </w:p>
          <w:p w:rsidR="00000000" w:rsidDel="00000000" w:rsidP="00000000" w:rsidRDefault="00000000" w:rsidRPr="00000000" w14:paraId="00000011">
            <w:pPr>
              <w:keepNext w:val="0"/>
              <w:keepLines w:val="1"/>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 Claudio Guthmann, Président &amp; membre du CA</w:t>
            </w:r>
          </w:p>
          <w:p w:rsidR="00000000" w:rsidDel="00000000" w:rsidP="00000000" w:rsidRDefault="00000000" w:rsidRPr="00000000" w14:paraId="00000012">
            <w:pPr>
              <w:keepLines w:val="1"/>
              <w:numPr>
                <w:ilvl w:val="0"/>
                <w:numId w:val="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Magali Horbert, Secrétaire &amp; membre du CA</w:t>
            </w:r>
          </w:p>
          <w:p w:rsidR="00000000" w:rsidDel="00000000" w:rsidP="00000000" w:rsidRDefault="00000000" w:rsidRPr="00000000" w14:paraId="00000013">
            <w:pPr>
              <w:keepLines w:val="1"/>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 Edward Olszyna-Marzys, membre du CA</w:t>
            </w:r>
          </w:p>
          <w:p w:rsidR="00000000" w:rsidDel="00000000" w:rsidP="00000000" w:rsidRDefault="00000000" w:rsidRPr="00000000" w14:paraId="00000014">
            <w:pPr>
              <w:keepLines w:val="1"/>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Karina Champney</w:t>
            </w:r>
          </w:p>
          <w:p w:rsidR="00000000" w:rsidDel="00000000" w:rsidP="00000000" w:rsidRDefault="00000000" w:rsidRPr="00000000" w14:paraId="00000015">
            <w:pPr>
              <w:keepLines w:val="1"/>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Elvira Cerda</w:t>
            </w:r>
            <w:r w:rsidDel="00000000" w:rsidR="00000000" w:rsidRPr="00000000">
              <w:rPr>
                <w:rtl w:val="0"/>
              </w:rPr>
            </w:r>
          </w:p>
          <w:p w:rsidR="00000000" w:rsidDel="00000000" w:rsidP="00000000" w:rsidRDefault="00000000" w:rsidRPr="00000000" w14:paraId="00000016">
            <w:pPr>
              <w:keepLines w:val="1"/>
              <w:numPr>
                <w:ilvl w:val="0"/>
                <w:numId w:val="3"/>
              </w:numPr>
              <w:spacing w:after="0" w:line="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 André Roblain</w:t>
            </w:r>
            <w:r w:rsidDel="00000000" w:rsidR="00000000" w:rsidRPr="00000000">
              <w:rPr>
                <w:rtl w:val="0"/>
              </w:rPr>
            </w:r>
          </w:p>
        </w:tc>
        <w:tc>
          <w:tcPr/>
          <w:p w:rsidR="00000000" w:rsidDel="00000000" w:rsidP="00000000" w:rsidRDefault="00000000" w:rsidRPr="00000000" w14:paraId="00000017">
            <w:pPr>
              <w:spacing w:after="12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Membres excusés</w:t>
            </w:r>
          </w:p>
          <w:p w:rsidR="00000000" w:rsidDel="00000000" w:rsidP="00000000" w:rsidRDefault="00000000" w:rsidRPr="00000000" w14:paraId="00000018">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 Armando Astudillo</w:t>
            </w:r>
          </w:p>
          <w:p w:rsidR="00000000" w:rsidDel="00000000" w:rsidP="00000000" w:rsidRDefault="00000000" w:rsidRPr="00000000" w14:paraId="00000019">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Nathalie Cantero</w:t>
            </w:r>
          </w:p>
          <w:p w:rsidR="00000000" w:rsidDel="00000000" w:rsidP="00000000" w:rsidRDefault="00000000" w:rsidRPr="00000000" w14:paraId="0000001A">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Geneviève Prumont</w:t>
            </w:r>
          </w:p>
          <w:p w:rsidR="00000000" w:rsidDel="00000000" w:rsidP="00000000" w:rsidRDefault="00000000" w:rsidRPr="00000000" w14:paraId="0000001B">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 Benoit Cliquet</w:t>
            </w:r>
          </w:p>
          <w:p w:rsidR="00000000" w:rsidDel="00000000" w:rsidP="00000000" w:rsidRDefault="00000000" w:rsidRPr="00000000" w14:paraId="0000001C">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Francine Cochet</w:t>
            </w:r>
          </w:p>
          <w:p w:rsidR="00000000" w:rsidDel="00000000" w:rsidP="00000000" w:rsidRDefault="00000000" w:rsidRPr="00000000" w14:paraId="0000001D">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Anna Economides</w:t>
            </w:r>
          </w:p>
          <w:p w:rsidR="00000000" w:rsidDel="00000000" w:rsidP="00000000" w:rsidRDefault="00000000" w:rsidRPr="00000000" w14:paraId="0000001E">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Herminia Gonzalez</w:t>
            </w:r>
          </w:p>
          <w:p w:rsidR="00000000" w:rsidDel="00000000" w:rsidP="00000000" w:rsidRDefault="00000000" w:rsidRPr="00000000" w14:paraId="0000001F">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 Jerôme Guillot</w:t>
            </w:r>
          </w:p>
          <w:p w:rsidR="00000000" w:rsidDel="00000000" w:rsidP="00000000" w:rsidRDefault="00000000" w:rsidRPr="00000000" w14:paraId="00000020">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Isabel Lopez</w:t>
            </w:r>
          </w:p>
          <w:p w:rsidR="00000000" w:rsidDel="00000000" w:rsidP="00000000" w:rsidRDefault="00000000" w:rsidRPr="00000000" w14:paraId="00000021">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Dimitra Loukou</w:t>
            </w:r>
          </w:p>
          <w:p w:rsidR="00000000" w:rsidDel="00000000" w:rsidP="00000000" w:rsidRDefault="00000000" w:rsidRPr="00000000" w14:paraId="00000022">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Nina Paaskesen</w:t>
            </w:r>
          </w:p>
          <w:p w:rsidR="00000000" w:rsidDel="00000000" w:rsidP="00000000" w:rsidRDefault="00000000" w:rsidRPr="00000000" w14:paraId="00000023">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 Xose-Maria Sainz</w:t>
            </w:r>
          </w:p>
          <w:p w:rsidR="00000000" w:rsidDel="00000000" w:rsidP="00000000" w:rsidRDefault="00000000" w:rsidRPr="00000000" w14:paraId="00000024">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 Ralf Schubert</w:t>
            </w:r>
          </w:p>
          <w:p w:rsidR="00000000" w:rsidDel="00000000" w:rsidP="00000000" w:rsidRDefault="00000000" w:rsidRPr="00000000" w14:paraId="00000025">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 Iñaki Zabala</w:t>
            </w:r>
          </w:p>
          <w:p w:rsidR="00000000" w:rsidDel="00000000" w:rsidP="00000000" w:rsidRDefault="00000000" w:rsidRPr="00000000" w14:paraId="00000026">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Carolien Zandbergen</w:t>
            </w:r>
          </w:p>
          <w:p w:rsidR="00000000" w:rsidDel="00000000" w:rsidP="00000000" w:rsidRDefault="00000000" w:rsidRPr="00000000" w14:paraId="00000027">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Monique Munting</w:t>
            </w:r>
          </w:p>
          <w:p w:rsidR="00000000" w:rsidDel="00000000" w:rsidP="00000000" w:rsidRDefault="00000000" w:rsidRPr="00000000" w14:paraId="00000028">
            <w:pPr>
              <w:keepLines w:val="1"/>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Thérèse Geels</w:t>
            </w:r>
          </w:p>
          <w:p w:rsidR="00000000" w:rsidDel="00000000" w:rsidP="00000000" w:rsidRDefault="00000000" w:rsidRPr="00000000" w14:paraId="00000029">
            <w:pPr>
              <w:keepLines w:val="1"/>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Mme Marie-Pierre Deramaux, membre du CA</w:t>
            </w:r>
          </w:p>
          <w:p w:rsidR="00000000" w:rsidDel="00000000" w:rsidP="00000000" w:rsidRDefault="00000000" w:rsidRPr="00000000" w14:paraId="0000002A">
            <w:pPr>
              <w:keepLines w:val="1"/>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 Gino Cintolesi, membre du CA</w:t>
            </w:r>
          </w:p>
          <w:p w:rsidR="00000000" w:rsidDel="00000000" w:rsidP="00000000" w:rsidRDefault="00000000" w:rsidRPr="00000000" w14:paraId="0000002B">
            <w:pPr>
              <w:spacing w:after="12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C">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Après un mot de bienvenue aux membres et invités présents, et après avoir constaté qu’un quorum de vote n’était pas nécessaire dans le cadre de cette assemblée générale, Claudio GUTHMANN, dans sa fonction de président, ouvre la séance </w:t>
      </w:r>
      <w:r w:rsidDel="00000000" w:rsidR="00000000" w:rsidRPr="00000000">
        <w:rPr>
          <w:rFonts w:ascii="Arial" w:cs="Arial" w:eastAsia="Arial" w:hAnsi="Arial"/>
          <w:color w:val="000000"/>
          <w:sz w:val="24"/>
          <w:szCs w:val="24"/>
          <w:rtl w:val="0"/>
        </w:rPr>
        <w:t xml:space="preserve">à 1</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h</w:t>
      </w:r>
      <w:r w:rsidDel="00000000" w:rsidR="00000000" w:rsidRPr="00000000">
        <w:rPr>
          <w:rFonts w:ascii="Arial" w:cs="Arial" w:eastAsia="Arial" w:hAnsi="Arial"/>
          <w:sz w:val="24"/>
          <w:szCs w:val="24"/>
          <w:rtl w:val="0"/>
        </w:rPr>
        <w:t xml:space="preserve">27</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2E">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120"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0">
      <w:pPr>
        <w:spacing w:after="120"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1">
      <w:pPr>
        <w:spacing w:after="120" w:lineRule="auto"/>
        <w:jc w:val="both"/>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Ordre du jour de l’assemblée générale ordinaire</w:t>
      </w:r>
    </w:p>
    <w:p w:rsidR="00000000" w:rsidDel="00000000" w:rsidP="00000000" w:rsidRDefault="00000000" w:rsidRPr="00000000" w14:paraId="00000032">
      <w:pPr>
        <w:spacing w:after="12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33">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président rappelle l'ordre du jour de la présente assemblée :</w:t>
      </w:r>
    </w:p>
    <w:p w:rsidR="00000000" w:rsidDel="00000000" w:rsidP="00000000" w:rsidRDefault="00000000" w:rsidRPr="00000000" w14:paraId="00000034">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120" w:lineRule="auto"/>
        <w:jc w:val="cente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ORDRE DU JOUR</w:t>
      </w:r>
      <w:r w:rsidDel="00000000" w:rsidR="00000000" w:rsidRPr="00000000">
        <w:rPr>
          <w:rtl w:val="0"/>
        </w:rPr>
      </w:r>
    </w:p>
    <w:p w:rsidR="00000000" w:rsidDel="00000000" w:rsidP="00000000" w:rsidRDefault="00000000" w:rsidRPr="00000000" w14:paraId="00000036">
      <w:pPr>
        <w:spacing w:after="120" w:lineRule="auto"/>
        <w:ind w:left="42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 Ouverture de l’AG et mot de Bienvenue</w:t>
      </w:r>
      <w:r w:rsidDel="00000000" w:rsidR="00000000" w:rsidRPr="00000000">
        <w:rPr>
          <w:rtl w:val="0"/>
        </w:rPr>
      </w:r>
    </w:p>
    <w:p w:rsidR="00000000" w:rsidDel="00000000" w:rsidP="00000000" w:rsidRDefault="00000000" w:rsidRPr="00000000" w14:paraId="00000037">
      <w:pPr>
        <w:spacing w:after="120" w:lineRule="auto"/>
        <w:ind w:left="42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Approbation du procès-verbal de l’Assemblée générale ordinaire 20</w:t>
      </w:r>
      <w:r w:rsidDel="00000000" w:rsidR="00000000" w:rsidRPr="00000000">
        <w:rPr>
          <w:rFonts w:ascii="Arial" w:cs="Arial" w:eastAsia="Arial" w:hAnsi="Arial"/>
          <w:sz w:val="24"/>
          <w:szCs w:val="24"/>
          <w:rtl w:val="0"/>
        </w:rPr>
        <w:t xml:space="preserve">20</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8">
      <w:pPr>
        <w:spacing w:after="12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 Décharge &amp; reconduction du Conseil d’administration </w:t>
      </w:r>
    </w:p>
    <w:p w:rsidR="00000000" w:rsidDel="00000000" w:rsidP="00000000" w:rsidRDefault="00000000" w:rsidRPr="00000000" w14:paraId="00000039">
      <w:pPr>
        <w:spacing w:after="12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Compte-rendu de la situation de l’école BERACA aujourd’hui</w:t>
      </w:r>
      <w:r w:rsidDel="00000000" w:rsidR="00000000" w:rsidRPr="00000000">
        <w:rPr>
          <w:rtl w:val="0"/>
        </w:rPr>
      </w:r>
    </w:p>
    <w:p w:rsidR="00000000" w:rsidDel="00000000" w:rsidP="00000000" w:rsidRDefault="00000000" w:rsidRPr="00000000" w14:paraId="0000003A">
      <w:pPr>
        <w:spacing w:after="12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Présentation et approbation des comptes et bilan de l’exercice 20</w:t>
      </w:r>
      <w:r w:rsidDel="00000000" w:rsidR="00000000" w:rsidRPr="00000000">
        <w:rPr>
          <w:rFonts w:ascii="Arial" w:cs="Arial" w:eastAsia="Arial" w:hAnsi="Arial"/>
          <w:sz w:val="24"/>
          <w:szCs w:val="24"/>
          <w:rtl w:val="0"/>
        </w:rPr>
        <w:t xml:space="preserve">20</w:t>
      </w:r>
    </w:p>
    <w:p w:rsidR="00000000" w:rsidDel="00000000" w:rsidP="00000000" w:rsidRDefault="00000000" w:rsidRPr="00000000" w14:paraId="0000003B">
      <w:pPr>
        <w:spacing w:after="12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Présentation du budget 202</w:t>
      </w: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3C">
      <w:pPr>
        <w:spacing w:after="12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Présentation des activités et projets 202</w:t>
      </w:r>
      <w:r w:rsidDel="00000000" w:rsidR="00000000" w:rsidRPr="00000000">
        <w:rPr>
          <w:rFonts w:ascii="Arial" w:cs="Arial" w:eastAsia="Arial" w:hAnsi="Arial"/>
          <w:sz w:val="24"/>
          <w:szCs w:val="24"/>
          <w:rtl w:val="0"/>
        </w:rPr>
        <w:t xml:space="preserve">1-22</w:t>
      </w:r>
    </w:p>
    <w:p w:rsidR="00000000" w:rsidDel="00000000" w:rsidP="00000000" w:rsidRDefault="00000000" w:rsidRPr="00000000" w14:paraId="0000003D">
      <w:pPr>
        <w:spacing w:after="12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Divers</w:t>
      </w:r>
      <w:r w:rsidDel="00000000" w:rsidR="00000000" w:rsidRPr="00000000">
        <w:rPr>
          <w:rtl w:val="0"/>
        </w:rPr>
      </w:r>
    </w:p>
    <w:p w:rsidR="00000000" w:rsidDel="00000000" w:rsidP="00000000" w:rsidRDefault="00000000" w:rsidRPr="00000000" w14:paraId="0000003E">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120" w:lineRule="auto"/>
        <w:jc w:val="both"/>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Résolutions</w:t>
      </w:r>
    </w:p>
    <w:p w:rsidR="00000000" w:rsidDel="00000000" w:rsidP="00000000" w:rsidRDefault="00000000" w:rsidRPr="00000000" w14:paraId="00000040">
      <w:pPr>
        <w:spacing w:after="120"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41">
      <w:pPr>
        <w:numPr>
          <w:ilvl w:val="0"/>
          <w:numId w:val="8"/>
        </w:numPr>
        <w:spacing w:after="12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Ouverture de l’AG &amp; Mot de Bienvenue </w:t>
      </w:r>
    </w:p>
    <w:p w:rsidR="00000000" w:rsidDel="00000000" w:rsidP="00000000" w:rsidRDefault="00000000" w:rsidRPr="00000000" w14:paraId="00000042">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président de l’asbl Ti-Sourire en Haïti, Claudio Guthmann, ouvre l’assemblée générale avec un mot de remerciement et de bienvenue.</w:t>
      </w:r>
    </w:p>
    <w:p w:rsidR="00000000" w:rsidDel="00000000" w:rsidP="00000000" w:rsidRDefault="00000000" w:rsidRPr="00000000" w14:paraId="00000043">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activités de Ti-Sourire ont été un peu endormies en 2021, dues aux restrictions liées Covid et aux choses de la vie. La révision des statuts de l’asbl notamment n’a pas été faite comme prévue lors de l’AG 2021.</w:t>
      </w:r>
    </w:p>
    <w:p w:rsidR="00000000" w:rsidDel="00000000" w:rsidP="00000000" w:rsidRDefault="00000000" w:rsidRPr="00000000" w14:paraId="00000044">
      <w:pPr>
        <w:spacing w:after="12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Deux événements ont eu lieu au cours de l’année:</w:t>
      </w:r>
    </w:p>
    <w:p w:rsidR="00000000" w:rsidDel="00000000" w:rsidP="00000000" w:rsidRDefault="00000000" w:rsidRPr="00000000" w14:paraId="00000045">
      <w:pPr>
        <w:numPr>
          <w:ilvl w:val="0"/>
          <w:numId w:val="4"/>
        </w:numPr>
        <w:spacing w:after="0" w:afterAutospacing="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une soirée apéro chez Thérèse Geels, avec Claudio &amp; Elvira qui sont allés présenter l’asbl, a eu beaucoup de succès</w:t>
      </w:r>
    </w:p>
    <w:p w:rsidR="00000000" w:rsidDel="00000000" w:rsidP="00000000" w:rsidRDefault="00000000" w:rsidRPr="00000000" w14:paraId="00000046">
      <w:pPr>
        <w:numPr>
          <w:ilvl w:val="0"/>
          <w:numId w:val="4"/>
        </w:numPr>
        <w:spacing w:after="12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un concert de Marlène Dorcena, qui a eu lieu le 16 avril, et qui a connu un succès mitigé. </w:t>
      </w:r>
    </w:p>
    <w:p w:rsidR="00000000" w:rsidDel="00000000" w:rsidP="00000000" w:rsidRDefault="00000000" w:rsidRPr="00000000" w14:paraId="00000047">
      <w:pPr>
        <w:spacing w:after="12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Approbation du PV de l’AG ordinaire de 20</w:t>
      </w:r>
      <w:r w:rsidDel="00000000" w:rsidR="00000000" w:rsidRPr="00000000">
        <w:rPr>
          <w:rFonts w:ascii="Arial" w:cs="Arial" w:eastAsia="Arial" w:hAnsi="Arial"/>
          <w:b w:val="1"/>
          <w:sz w:val="24"/>
          <w:szCs w:val="24"/>
          <w:rtl w:val="0"/>
        </w:rPr>
        <w:t xml:space="preserve">21</w:t>
      </w:r>
      <w:r w:rsidDel="00000000" w:rsidR="00000000" w:rsidRPr="00000000">
        <w:rPr>
          <w:rtl w:val="0"/>
        </w:rPr>
      </w:r>
    </w:p>
    <w:p w:rsidR="00000000" w:rsidDel="00000000" w:rsidP="00000000" w:rsidRDefault="00000000" w:rsidRPr="00000000" w14:paraId="00000049">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Magali Horbert lit l’ordre du jour et soumet le PV de l’AG ordinaire de 2021 à l’approbation des présents. Celle-ci est approuvée à l’unanimité.</w:t>
      </w:r>
    </w:p>
    <w:p w:rsidR="00000000" w:rsidDel="00000000" w:rsidP="00000000" w:rsidRDefault="00000000" w:rsidRPr="00000000" w14:paraId="0000004A">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Décharge &amp; reconduction du Conseil d’administration</w:t>
      </w:r>
      <w:r w:rsidDel="00000000" w:rsidR="00000000" w:rsidRPr="00000000">
        <w:rPr>
          <w:rtl w:val="0"/>
        </w:rPr>
      </w:r>
    </w:p>
    <w:p w:rsidR="00000000" w:rsidDel="00000000" w:rsidP="00000000" w:rsidRDefault="00000000" w:rsidRPr="00000000" w14:paraId="0000004C">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L’Assemblée générale approuve à l’unanimité la reconduction du Conseil d’administration de l’asbl. Les membres du Conseil d’administration sont tous reconduits pour une année :</w:t>
      </w:r>
    </w:p>
    <w:p w:rsidR="00000000" w:rsidDel="00000000" w:rsidP="00000000" w:rsidRDefault="00000000" w:rsidRPr="00000000" w14:paraId="0000004D">
      <w:pPr>
        <w:numPr>
          <w:ilvl w:val="0"/>
          <w:numId w:val="7"/>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 Claudio Guthmann, président</w:t>
      </w:r>
      <w:r w:rsidDel="00000000" w:rsidR="00000000" w:rsidRPr="00000000">
        <w:rPr>
          <w:rtl w:val="0"/>
        </w:rPr>
      </w:r>
    </w:p>
    <w:p w:rsidR="00000000" w:rsidDel="00000000" w:rsidP="00000000" w:rsidRDefault="00000000" w:rsidRPr="00000000" w14:paraId="0000004E">
      <w:pPr>
        <w:numPr>
          <w:ilvl w:val="0"/>
          <w:numId w:val="7"/>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Mme Magali Horbert, vice-présidente &amp; secrétaire</w:t>
      </w:r>
      <w:r w:rsidDel="00000000" w:rsidR="00000000" w:rsidRPr="00000000">
        <w:rPr>
          <w:rtl w:val="0"/>
        </w:rPr>
      </w:r>
    </w:p>
    <w:p w:rsidR="00000000" w:rsidDel="00000000" w:rsidP="00000000" w:rsidRDefault="00000000" w:rsidRPr="00000000" w14:paraId="0000004F">
      <w:pPr>
        <w:numPr>
          <w:ilvl w:val="0"/>
          <w:numId w:val="7"/>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 Gino Cintolesi, membre du CA</w:t>
      </w:r>
      <w:r w:rsidDel="00000000" w:rsidR="00000000" w:rsidRPr="00000000">
        <w:rPr>
          <w:rtl w:val="0"/>
        </w:rPr>
      </w:r>
    </w:p>
    <w:p w:rsidR="00000000" w:rsidDel="00000000" w:rsidP="00000000" w:rsidRDefault="00000000" w:rsidRPr="00000000" w14:paraId="00000050">
      <w:pPr>
        <w:numPr>
          <w:ilvl w:val="0"/>
          <w:numId w:val="7"/>
        </w:numPr>
        <w:spacing w:after="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Mme Marie-Pierre Deramaux</w:t>
      </w:r>
      <w:r w:rsidDel="00000000" w:rsidR="00000000" w:rsidRPr="00000000">
        <w:rPr>
          <w:rtl w:val="0"/>
        </w:rPr>
      </w:r>
    </w:p>
    <w:p w:rsidR="00000000" w:rsidDel="00000000" w:rsidP="00000000" w:rsidRDefault="00000000" w:rsidRPr="00000000" w14:paraId="00000051">
      <w:pPr>
        <w:numPr>
          <w:ilvl w:val="0"/>
          <w:numId w:val="7"/>
        </w:numPr>
        <w:spacing w:after="12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 Edward Olszyna-Marzys</w:t>
      </w:r>
      <w:r w:rsidDel="00000000" w:rsidR="00000000" w:rsidRPr="00000000">
        <w:rPr>
          <w:rtl w:val="0"/>
        </w:rPr>
      </w:r>
    </w:p>
    <w:p w:rsidR="00000000" w:rsidDel="00000000" w:rsidP="00000000" w:rsidRDefault="00000000" w:rsidRPr="00000000" w14:paraId="00000052">
      <w:pPr>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240" w:before="24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Claudio Guthmann présente le projet de rénovation des statuts. Compte tenu du fait que l’asbl devra changer de siège officiel (actuellement ssi au domicile de Elvira Cerda, 70 rue du Docteur Elie Lambotte, 1030 Bruxelles), Claudio propose de faire une révision complète des statuts, avec l’aide d’une organisation compétente, pour vérifier que tout est en ordre. Le lieu du nouveau siège de l’asbl reste encore à définir. Claudio propose de revoir les statuts et de présenter la nouvelle version lors de l’AG 2022.</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Compte-rendu de la situation de l’école BERACA aujourd’hui</w:t>
      </w:r>
    </w:p>
    <w:p w:rsidR="00000000" w:rsidDel="00000000" w:rsidP="00000000" w:rsidRDefault="00000000" w:rsidRPr="00000000" w14:paraId="00000055">
      <w:pPr>
        <w:spacing w:after="240" w:befor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situation en Haïti est encore toujours marquée par des violences sociales et une grande insécurité généralisée. Claudio lit une carte blanche publiée dans Le Soir, 10 mai 2022 “Haïti, l’aveuglement international” - la situation va de mal en pire depuis l’assassinat du président. Le Premier Ministre a repris sa place, la situation empire, la violence se déchaîne. Par conséquent, l’Ecole Beraca a dû fermer en février et mai 2022 pendant plusieurs semaines. Les cours ont repris depuis le 30 mai jusqu’aux vacances d’été.</w:t>
      </w:r>
    </w:p>
    <w:p w:rsidR="00000000" w:rsidDel="00000000" w:rsidP="00000000" w:rsidRDefault="00000000" w:rsidRPr="00000000" w14:paraId="00000056">
      <w:pPr>
        <w:spacing w:after="240" w:befor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L’insécurité alimentaire dans l’île prend des proportions terribles, ce qui donne encore plus de légitimité à notre action. Le projet de colis alimentaires a dû être mis en pause à cause de la difficulté de s'approvisionner en nourriture et de la difficulté des familles a se déplacer jusqu’à l’école pour les récupérer. La situation financière de l’école reste stable, grâce aux apports de Ti Sourire. Le minerval est fixé aux alentours de 80US$ par an par élève; sur 400 élèves, moins de 100 le paient en totalité. L’école reçoit au total autour de 2.000 US$ par an par ce biais. Un peu de soutien vient d’anciens élèves; la plupart des rentrées financières viennent de l’asbl Ti-Sourire. Claudio souligne que la direction continue à envoyer chaque mois un rapport très détaillé sur les dépenses faites. </w:t>
      </w:r>
    </w:p>
    <w:p w:rsidR="00000000" w:rsidDel="00000000" w:rsidP="00000000" w:rsidRDefault="00000000" w:rsidRPr="00000000" w14:paraId="00000057">
      <w:pPr>
        <w:spacing w:after="240" w:befor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L’argent envoyé mensuellement par Ti-Sourire sert à couvrir les salaires de 28 personnes (professeurs, directions, cuisinières, etc.), soit 1,700 US$ (⅓). Le reste du montant (soit 3,300 US$) sert à financer la cantine. Suite à la fermeture de l’école pendant plusieurs semaines à cause de l’insécurité, cet argent n’a pas été dépensé; la réserve financière de l’école augmente considérablement et s’élève aujourd’hui à environ 30.000 euros. Elvira Cerda demande si cet argent est protégé d’un éventuel crash financier, et si on devrait éventuellement baisser notre apport mensuel.</w:t>
      </w:r>
    </w:p>
    <w:p w:rsidR="00000000" w:rsidDel="00000000" w:rsidP="00000000" w:rsidRDefault="00000000" w:rsidRPr="00000000" w14:paraId="00000058">
      <w:pPr>
        <w:spacing w:after="240" w:befor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L’école souffre mais résiste, et elle continue à communiquer très activement avec Claudio. Le projet d’été proposé par l’école pour 2022 est la construction de trois salles de classe. Le montant total du budget prévisionnel s’élève à 30.000 US$. L’AG est d’accord pour que l’école utilise l’apport d’été de Ti-Sourire (10,000 US$) pour ce projet, et qu’elle devra compléter les frais avec les réserves de l’école. L’école devra fournir un devis en bonne et due forme et nous tenir informé des travaux avec des photos.   </w:t>
      </w:r>
    </w:p>
    <w:p w:rsidR="00000000" w:rsidDel="00000000" w:rsidP="00000000" w:rsidRDefault="00000000" w:rsidRPr="00000000" w14:paraId="00000059">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Présentation et approbation des comptes et bilan de l’exercice </w:t>
      </w:r>
      <w:r w:rsidDel="00000000" w:rsidR="00000000" w:rsidRPr="00000000">
        <w:rPr>
          <w:rFonts w:ascii="Arial" w:cs="Arial" w:eastAsia="Arial" w:hAnsi="Arial"/>
          <w:b w:val="1"/>
          <w:sz w:val="24"/>
          <w:szCs w:val="24"/>
          <w:rtl w:val="0"/>
        </w:rPr>
        <w:t xml:space="preserve">2021</w:t>
      </w:r>
      <w:r w:rsidDel="00000000" w:rsidR="00000000" w:rsidRPr="00000000">
        <w:rPr>
          <w:rtl w:val="0"/>
        </w:rPr>
      </w:r>
    </w:p>
    <w:p w:rsidR="00000000" w:rsidDel="00000000" w:rsidP="00000000" w:rsidRDefault="00000000" w:rsidRPr="00000000" w14:paraId="0000005B">
      <w:pPr>
        <w:spacing w:after="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Claudio explique qu’actuellement, nous faisons un transfert régulier de 5,125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Arial" w:cs="Arial" w:eastAsia="Arial" w:hAnsi="Arial"/>
          <w:sz w:val="24"/>
          <w:szCs w:val="24"/>
          <w:rtl w:val="0"/>
        </w:rPr>
        <w:t xml:space="preserve"> par mois. </w:t>
      </w:r>
      <w:r w:rsidDel="00000000" w:rsidR="00000000" w:rsidRPr="00000000">
        <w:rPr>
          <w:rFonts w:ascii="Arial" w:cs="Arial" w:eastAsia="Arial" w:hAnsi="Arial"/>
          <w:sz w:val="24"/>
          <w:szCs w:val="24"/>
          <w:rtl w:val="0"/>
        </w:rPr>
        <w:t xml:space="preserve">Claudio demandera à la banque (Triodos) de faire le virement en dollars,</w:t>
      </w:r>
      <w:r w:rsidDel="00000000" w:rsidR="00000000" w:rsidRPr="00000000">
        <w:rPr>
          <w:rFonts w:ascii="Arial" w:cs="Arial" w:eastAsia="Arial" w:hAnsi="Arial"/>
          <w:sz w:val="24"/>
          <w:szCs w:val="24"/>
          <w:rtl w:val="0"/>
        </w:rPr>
        <w:t xml:space="preserve"> afin de réguler le taux de change ; ceci permettrait à l’école de recevoir toujours le même montant en dollars. André présente l'exercice 2021. L’AG approuve le bilan de l'exercice 2021 à l’unanimité.</w:t>
      </w:r>
    </w:p>
    <w:p w:rsidR="00000000" w:rsidDel="00000000" w:rsidP="00000000" w:rsidRDefault="00000000" w:rsidRPr="00000000" w14:paraId="0000005C">
      <w:pPr>
        <w:spacing w:after="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Claudio fait un compte rendu du concert de Marlène Dorcena, qui s’est tenu à Neder-over-Humbeek. C’était un pari: une salle dans un quartier éloigné, pas chère, avec un nouveau contact local. Les résultats sont mitigés: la date était mal choisie (weekend de Pâques), dans une commune éloignée, avec peu de soutien de la part du comité local (à part de la part de François). Résultats: peu de public (autour de 80 personnes), mauvaise acoustique et lumière, et un déficit d’environ 1.000 euros. Pour la prochaine organisation d’un événement similaire, il faudra prendre en compte les détails suivants:</w:t>
      </w:r>
    </w:p>
    <w:p w:rsidR="00000000" w:rsidDel="00000000" w:rsidP="00000000" w:rsidRDefault="00000000" w:rsidRPr="00000000" w14:paraId="0000005D">
      <w:pPr>
        <w:numPr>
          <w:ilvl w:val="0"/>
          <w:numId w:val="5"/>
        </w:numPr>
        <w:spacing w:after="0" w:afterAutospacing="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bien choisir la date</w:t>
      </w:r>
    </w:p>
    <w:p w:rsidR="00000000" w:rsidDel="00000000" w:rsidP="00000000" w:rsidRDefault="00000000" w:rsidRPr="00000000" w14:paraId="0000005E">
      <w:pPr>
        <w:numPr>
          <w:ilvl w:val="0"/>
          <w:numId w:val="5"/>
        </w:numPr>
        <w:spacing w:after="0" w:afterAutospacing="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bien choisir le lieu</w:t>
      </w:r>
    </w:p>
    <w:p w:rsidR="00000000" w:rsidDel="00000000" w:rsidP="00000000" w:rsidRDefault="00000000" w:rsidRPr="00000000" w14:paraId="0000005F">
      <w:pPr>
        <w:numPr>
          <w:ilvl w:val="0"/>
          <w:numId w:val="5"/>
        </w:numPr>
        <w:spacing w:after="0" w:afterAutospacing="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ne pas demander un prépaiement pour les réservations</w:t>
      </w:r>
    </w:p>
    <w:p w:rsidR="00000000" w:rsidDel="00000000" w:rsidP="00000000" w:rsidRDefault="00000000" w:rsidRPr="00000000" w14:paraId="00000060">
      <w:pPr>
        <w:numPr>
          <w:ilvl w:val="0"/>
          <w:numId w:val="5"/>
        </w:numPr>
        <w:spacing w:after="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demander à Marlène de jouer avec moins de musiciens.</w:t>
      </w:r>
    </w:p>
    <w:p w:rsidR="00000000" w:rsidDel="00000000" w:rsidP="00000000" w:rsidRDefault="00000000" w:rsidRPr="00000000" w14:paraId="00000061">
      <w:pPr>
        <w:spacing w:after="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Présentation des comptes provisoires pour l’exercice 202</w:t>
      </w:r>
      <w:r w:rsidDel="00000000" w:rsidR="00000000" w:rsidRPr="00000000">
        <w:rPr>
          <w:rFonts w:ascii="Arial" w:cs="Arial" w:eastAsia="Arial" w:hAnsi="Arial"/>
          <w:b w:val="1"/>
          <w:sz w:val="24"/>
          <w:szCs w:val="24"/>
          <w:rtl w:val="0"/>
        </w:rPr>
        <w:t xml:space="preserve">2</w:t>
      </w:r>
      <w:r w:rsidDel="00000000" w:rsidR="00000000" w:rsidRPr="00000000">
        <w:rPr>
          <w:rtl w:val="0"/>
        </w:rPr>
      </w:r>
    </w:p>
    <w:p w:rsidR="00000000" w:rsidDel="00000000" w:rsidP="00000000" w:rsidRDefault="00000000" w:rsidRPr="00000000" w14:paraId="00000063">
      <w:pPr>
        <w:spacing w:after="240" w:lineRule="auto"/>
        <w:ind w:left="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Magali Horbert présente le budget prévisionnel pour 2022. Après une modification pour tenir compte des dépenses liées au projet d’été (construction de trois salles d’écoles), l’AG approuve le budget prévisionnel de 2022.</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Présentation des activités et projets 202</w:t>
      </w:r>
      <w:r w:rsidDel="00000000" w:rsidR="00000000" w:rsidRPr="00000000">
        <w:rPr>
          <w:rFonts w:ascii="Arial" w:cs="Arial" w:eastAsia="Arial" w:hAnsi="Arial"/>
          <w:b w:val="1"/>
          <w:sz w:val="24"/>
          <w:szCs w:val="24"/>
          <w:rtl w:val="0"/>
        </w:rPr>
        <w:t xml:space="preserve">2-2023</w:t>
      </w:r>
      <w:r w:rsidDel="00000000" w:rsidR="00000000" w:rsidRPr="00000000">
        <w:rPr>
          <w:rtl w:val="0"/>
        </w:rPr>
      </w:r>
    </w:p>
    <w:p w:rsidR="00000000" w:rsidDel="00000000" w:rsidP="00000000" w:rsidRDefault="00000000" w:rsidRPr="00000000" w14:paraId="00000066">
      <w:pPr>
        <w:spacing w:after="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Claudio présente les projets prévus par l’asbl Ti-Sourire pour 2022 et 2023 :</w:t>
      </w:r>
    </w:p>
    <w:p w:rsidR="00000000" w:rsidDel="00000000" w:rsidP="00000000" w:rsidRDefault="00000000" w:rsidRPr="00000000" w14:paraId="00000067">
      <w:pPr>
        <w:numPr>
          <w:ilvl w:val="0"/>
          <w:numId w:val="2"/>
        </w:numPr>
        <w:spacing w:after="0" w:befor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Apéros de donateurs: l’objectif des apéros est de trouver de nouveaux donateurs, afin de consolider notre base de donateurs pour renforcer notre situation financière. Cependant, le premier appel auprès des donateurs existants pour organiser des apéros a connu peu de réaction; Claudio souligne qu’il ne s’agit en aucun cas de forcer les gens. Il faut trouver des personnes qui ont envie de le faire et aller les voir personnellement; un mail ne suffit pas. Les participants de l’AG essaieront d’identifier des personnes pour relancer l’idée des apéros. </w:t>
      </w:r>
    </w:p>
    <w:p w:rsidR="00000000" w:rsidDel="00000000" w:rsidP="00000000" w:rsidRDefault="00000000" w:rsidRPr="00000000" w14:paraId="00000068">
      <w:pPr>
        <w:numPr>
          <w:ilvl w:val="0"/>
          <w:numId w:val="2"/>
        </w:numPr>
        <w:spacing w:after="0" w:befor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Trouver des sources de financement alternatives: André propose l’idée de chercher des financements auprès d’entreprises ou des fondations. Claudio rappelle que la force de notre asbl est le contact très personnel avec les donateurs, et le fait que nous ne dépendons pas de financements privés. Il faut donc trouver un équilibre. Un bon exemple est le don ponctuel des Femmes d’Europe il y a quelques années. Ce serait donc intéressant d'identifier des fondations intéressantes et de voir les critères pour faire une demande de financement. André demandera à son épouse, Dominique, si elle peut aider avec cette démarche.</w:t>
      </w:r>
    </w:p>
    <w:p w:rsidR="00000000" w:rsidDel="00000000" w:rsidP="00000000" w:rsidRDefault="00000000" w:rsidRPr="00000000" w14:paraId="00000069">
      <w:pPr>
        <w:numPr>
          <w:ilvl w:val="0"/>
          <w:numId w:val="2"/>
        </w:numPr>
        <w:spacing w:after="0" w:befor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Clinique mobile : la Clinique Mobile, un projet en Haïti qui se déplace et fait des interventions ponctuelles de santé, a été très bien reçu il y a quelques années par l’école. Il serait éventuellement intéressant de répéter cette initiative, si possible. Elvira reprendra contact avec la personne sur place pour relancer ce projet pour la fin de 2022 / début 2023.</w:t>
      </w:r>
    </w:p>
    <w:p w:rsidR="00000000" w:rsidDel="00000000" w:rsidP="00000000" w:rsidRDefault="00000000" w:rsidRPr="00000000" w14:paraId="0000006A">
      <w:pPr>
        <w:numPr>
          <w:ilvl w:val="0"/>
          <w:numId w:val="2"/>
        </w:numPr>
        <w:spacing w:after="0" w:befor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Projet d’été école Beraca: le projet d’été de l’école Beraca (la construction de trois salles de classes; voir plus haut) a été accepté par l’AG, et Claudio demandera à l’école d’envoyer un budget et devis détaillé, ainsi que des photos.</w:t>
      </w:r>
    </w:p>
    <w:p w:rsidR="00000000" w:rsidDel="00000000" w:rsidP="00000000" w:rsidRDefault="00000000" w:rsidRPr="00000000" w14:paraId="0000006B">
      <w:pPr>
        <w:spacing w:after="240" w:befor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Divers</w:t>
      </w:r>
      <w:r w:rsidDel="00000000" w:rsidR="00000000" w:rsidRPr="00000000">
        <w:rPr>
          <w:rtl w:val="0"/>
        </w:rPr>
      </w:r>
    </w:p>
    <w:p w:rsidR="00000000" w:rsidDel="00000000" w:rsidP="00000000" w:rsidRDefault="00000000" w:rsidRPr="00000000" w14:paraId="0000006D">
      <w:pPr>
        <w:numPr>
          <w:ilvl w:val="0"/>
          <w:numId w:val="1"/>
        </w:numPr>
        <w:spacing w:after="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Renouvellement de l’exemption fiscale pour donateurs : après vérification, la demande faite en 2020 est valable pour quatre ans. La prochaine demande devra donc se faire fin 2023, et (en cas d’acceptation) sera valable six ans.</w:t>
      </w:r>
      <w:r w:rsidDel="00000000" w:rsidR="00000000" w:rsidRPr="00000000">
        <w:rPr>
          <w:rtl w:val="0"/>
        </w:rPr>
      </w:r>
    </w:p>
    <w:p w:rsidR="00000000" w:rsidDel="00000000" w:rsidP="00000000" w:rsidRDefault="00000000" w:rsidRPr="00000000" w14:paraId="0000006E">
      <w:pPr>
        <w:numPr>
          <w:ilvl w:val="0"/>
          <w:numId w:val="1"/>
        </w:numPr>
        <w:spacing w:after="240" w:before="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Déclaration UBO auprès du Service Public Fédéral des Finances : André n’ayant pas le pouvoir légal de le faire, Magali et Claudio devront l’assister. </w:t>
      </w:r>
    </w:p>
    <w:p w:rsidR="00000000" w:rsidDel="00000000" w:rsidP="00000000" w:rsidRDefault="00000000" w:rsidRPr="00000000" w14:paraId="0000006F">
      <w:pPr>
        <w:spacing w:after="240" w:before="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président déclare l’AG terminé à 16h28 et remercie tous les participants.</w:t>
      </w:r>
    </w:p>
    <w:p w:rsidR="00000000" w:rsidDel="00000000" w:rsidP="00000000" w:rsidRDefault="00000000" w:rsidRPr="00000000" w14:paraId="00000070">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secrétaire est chargée de rédiger le procès-verbal de l'assemblée générale qui sera envoyé en même temps que la convocation à la prochaine assemblée générale pour être approuvé lors de celle-ci.</w:t>
      </w:r>
    </w:p>
    <w:tbl>
      <w:tblPr>
        <w:tblStyle w:val="Table2"/>
        <w:tblW w:w="962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1"/>
        <w:gridCol w:w="4811"/>
        <w:tblGridChange w:id="0">
          <w:tblGrid>
            <w:gridCol w:w="4811"/>
            <w:gridCol w:w="4811"/>
          </w:tblGrid>
        </w:tblGridChange>
      </w:tblGrid>
      <w:tr>
        <w:trPr>
          <w:cantSplit w:val="0"/>
          <w:tblHeader w:val="0"/>
        </w:trPr>
        <w:tc>
          <w:tcPr/>
          <w:p w:rsidR="00000000" w:rsidDel="00000000" w:rsidP="00000000" w:rsidRDefault="00000000" w:rsidRPr="00000000" w14:paraId="00000071">
            <w:pPr>
              <w:spacing w:after="12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2">
            <w:pPr>
              <w:spacing w:after="12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3">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____________________________</w:t>
            </w:r>
          </w:p>
          <w:p w:rsidR="00000000" w:rsidDel="00000000" w:rsidP="00000000" w:rsidRDefault="00000000" w:rsidRPr="00000000" w14:paraId="00000074">
            <w:pPr>
              <w:spacing w:after="12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5">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Claudio GUTHMANN</w:t>
            </w:r>
          </w:p>
          <w:p w:rsidR="00000000" w:rsidDel="00000000" w:rsidP="00000000" w:rsidRDefault="00000000" w:rsidRPr="00000000" w14:paraId="00000076">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Président</w:t>
            </w:r>
          </w:p>
        </w:tc>
        <w:tc>
          <w:tcPr/>
          <w:p w:rsidR="00000000" w:rsidDel="00000000" w:rsidP="00000000" w:rsidRDefault="00000000" w:rsidRPr="00000000" w14:paraId="00000077">
            <w:pPr>
              <w:spacing w:after="12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spacing w:after="12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_______________________________</w:t>
            </w:r>
          </w:p>
          <w:p w:rsidR="00000000" w:rsidDel="00000000" w:rsidP="00000000" w:rsidRDefault="00000000" w:rsidRPr="00000000" w14:paraId="0000007A">
            <w:pPr>
              <w:spacing w:after="12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Magali Horbert</w:t>
            </w:r>
          </w:p>
          <w:p w:rsidR="00000000" w:rsidDel="00000000" w:rsidP="00000000" w:rsidRDefault="00000000" w:rsidRPr="00000000" w14:paraId="0000007C">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Secrétaire</w:t>
            </w:r>
          </w:p>
        </w:tc>
      </w:tr>
    </w:tbl>
    <w:p w:rsidR="00000000" w:rsidDel="00000000" w:rsidP="00000000" w:rsidRDefault="00000000" w:rsidRPr="00000000" w14:paraId="0000007D">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after="120" w:lineRule="auto"/>
        <w:jc w:val="both"/>
        <w:rPr>
          <w:rFonts w:ascii="Arial" w:cs="Arial" w:eastAsia="Arial" w:hAnsi="Arial"/>
          <w:sz w:val="24"/>
          <w:szCs w:val="24"/>
        </w:rPr>
      </w:pPr>
      <w:r w:rsidDel="00000000" w:rsidR="00000000" w:rsidRPr="00000000">
        <w:br w:type="page"/>
      </w:r>
      <w:r w:rsidDel="00000000" w:rsidR="00000000" w:rsidRPr="00000000">
        <w:rPr>
          <w:rtl w:val="0"/>
        </w:rPr>
      </w:r>
    </w:p>
    <w:sectPr>
      <w:headerReference r:id="rId13" w:type="default"/>
      <w:type w:val="continuous"/>
      <w:pgSz w:h="16840" w:w="11900" w:orient="portrait"/>
      <w:pgMar w:bottom="567" w:top="1418" w:left="851" w:right="987" w:header="709" w:footer="7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mbr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Open Sans" w:cs="Open Sans" w:eastAsia="Open Sans" w:hAnsi="Open Sans"/>
        <w:b w:val="1"/>
        <w:i w:val="0"/>
        <w:smallCaps w:val="0"/>
        <w:strike w:val="0"/>
        <w:color w:val="a6a6a6"/>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a6a6a6"/>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Open Sans" w:cs="Open Sans" w:eastAsia="Open Sans" w:hAnsi="Open Sans"/>
        <w:b w:val="1"/>
        <w:i w:val="0"/>
        <w:smallCaps w:val="0"/>
        <w:strike w:val="0"/>
        <w:color w:val="a6a6a6"/>
        <w:sz w:val="22"/>
        <w:szCs w:val="22"/>
        <w:u w:val="none"/>
        <w:shd w:fill="auto" w:val="clear"/>
        <w:vertAlign w:val="baseline"/>
        <w:rtl w:val="0"/>
      </w:rPr>
      <w:t xml:space="preserve"> | Ti-Sourire en Haïti – PV 202</w:t>
    </w:r>
    <w:r w:rsidDel="00000000" w:rsidR="00000000" w:rsidRPr="00000000">
      <w:rPr>
        <w:b w:val="1"/>
        <w:color w:val="a6a6a6"/>
        <w:rtl w:val="0"/>
      </w:rPr>
      <w:t xml:space="preserve">2</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851" w:right="134" w:firstLine="0"/>
      <w:jc w:val="left"/>
      <w:rPr>
        <w:rFonts w:ascii="Cambria" w:cs="Cambria" w:eastAsia="Cambria" w:hAnsi="Cambria"/>
        <w:b w:val="0"/>
        <w:i w:val="0"/>
        <w:smallCaps w:val="0"/>
        <w:strike w:val="0"/>
        <w:color w:val="80808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0" w:right="-7" w:firstLine="0"/>
      <w:jc w:val="center"/>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Pr>
      <w:drawing>
        <wp:inline distB="0" distT="0" distL="0" distR="0">
          <wp:extent cx="1359202" cy="1359202"/>
          <wp:effectExtent b="0" l="0" r="0" 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59202" cy="135920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762000</wp:posOffset>
              </wp:positionV>
              <wp:extent cx="1390650" cy="1047750"/>
              <wp:effectExtent b="0" l="0" r="0" t="0"/>
              <wp:wrapSquare wrapText="bothSides" distB="0" distT="0" distL="114300" distR="114300"/>
              <wp:docPr id="10" name="" title="test"/>
              <a:graphic>
                <a:graphicData uri="http://schemas.microsoft.com/office/word/2010/wordprocessingShape">
                  <wps:wsp>
                    <wps:cNvSpPr/>
                    <wps:cNvPr id="2" name="Shape 2"/>
                    <wps:spPr>
                      <a:xfrm>
                        <a:off x="4660200" y="3265650"/>
                        <a:ext cx="1371600" cy="1028700"/>
                      </a:xfrm>
                      <a:prstGeom prst="rect">
                        <a:avLst/>
                      </a:prstGeom>
                      <a:noFill/>
                      <a:ln>
                        <a:noFill/>
                      </a:ln>
                    </wps:spPr>
                    <wps:txbx>
                      <w:txbxContent>
                        <w:p w:rsidR="00000000" w:rsidDel="00000000" w:rsidP="00000000" w:rsidRDefault="00000000" w:rsidRPr="00000000">
                          <w:pPr>
                            <w:spacing w:after="0" w:before="0" w:line="360"/>
                            <w:ind w:left="283.99999618530273" w:right="0" w:firstLine="283.99999618530273"/>
                            <w:jc w:val="left"/>
                            <w:textDirection w:val="btLr"/>
                          </w:pPr>
                        </w:p>
                        <w:p w:rsidR="00000000" w:rsidDel="00000000" w:rsidP="00000000" w:rsidRDefault="00000000" w:rsidRPr="00000000">
                          <w:pPr>
                            <w:spacing w:after="0" w:before="0" w:line="360"/>
                            <w:ind w:left="-75.99999904632568" w:right="0" w:firstLine="-511.9999694824219"/>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60"/>
                            <w:ind w:left="283.99999618530273" w:right="0" w:firstLine="283.99999618530273"/>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762000</wp:posOffset>
              </wp:positionV>
              <wp:extent cx="1390650" cy="1047750"/>
              <wp:effectExtent b="0" l="0" r="0" t="0"/>
              <wp:wrapSquare wrapText="bothSides" distB="0" distT="0" distL="114300" distR="114300"/>
              <wp:docPr descr="test" id="10" name="image2.png"/>
              <a:graphic>
                <a:graphicData uri="http://schemas.openxmlformats.org/drawingml/2006/picture">
                  <pic:pic>
                    <pic:nvPicPr>
                      <pic:cNvPr descr="test" id="0" name="image2.png"/>
                      <pic:cNvPicPr preferRelativeResize="0"/>
                    </pic:nvPicPr>
                    <pic:blipFill>
                      <a:blip r:embed="rId2"/>
                      <a:srcRect/>
                      <a:stretch>
                        <a:fillRect/>
                      </a:stretch>
                    </pic:blipFill>
                    <pic:spPr>
                      <a:xfrm>
                        <a:off x="0" y="0"/>
                        <a:ext cx="1390650" cy="1047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fr-B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Rule="auto"/>
      <w:ind w:left="720" w:hanging="360"/>
    </w:pPr>
    <w:rPr>
      <w:b w:val="1"/>
      <w:color w:val="5b0038"/>
      <w:sz w:val="32"/>
      <w:szCs w:val="32"/>
    </w:rPr>
  </w:style>
  <w:style w:type="paragraph" w:styleId="Heading2">
    <w:name w:val="heading 2"/>
    <w:basedOn w:val="Normal"/>
    <w:next w:val="Normal"/>
    <w:pPr>
      <w:keepNext w:val="1"/>
      <w:keepLines w:val="1"/>
      <w:spacing w:after="160" w:before="200" w:lineRule="auto"/>
      <w:ind w:left="0" w:firstLine="360"/>
    </w:pPr>
    <w:rPr>
      <w:b w:val="1"/>
      <w:color w:val="5b0038"/>
      <w:sz w:val="24"/>
      <w:szCs w:val="24"/>
    </w:rPr>
  </w:style>
  <w:style w:type="paragraph" w:styleId="Heading3">
    <w:name w:val="heading 3"/>
    <w:basedOn w:val="Normal"/>
    <w:next w:val="Normal"/>
    <w:pPr>
      <w:keepNext w:val="1"/>
      <w:keepLines w:val="1"/>
      <w:spacing w:after="160" w:before="200" w:lineRule="auto"/>
      <w:ind w:left="0" w:firstLine="360"/>
    </w:pPr>
    <w:rPr>
      <w:b w:val="1"/>
      <w:color w:val="5b0038"/>
      <w:sz w:val="22"/>
      <w:szCs w:val="22"/>
    </w:rPr>
  </w:style>
  <w:style w:type="paragraph" w:styleId="Heading4">
    <w:name w:val="heading 4"/>
    <w:basedOn w:val="Normal"/>
    <w:next w:val="Normal"/>
    <w:pPr>
      <w:keepNext w:val="1"/>
      <w:keepLines w:val="1"/>
      <w:spacing w:before="200" w:lineRule="auto"/>
      <w:ind w:left="2880" w:hanging="360"/>
    </w:pPr>
    <w:rPr>
      <w:rFonts w:ascii="Calibri" w:cs="Calibri" w:eastAsia="Calibri" w:hAnsi="Calibri"/>
      <w:b w:val="1"/>
      <w:i w:val="1"/>
      <w:color w:val="4f81bd"/>
    </w:rPr>
  </w:style>
  <w:style w:type="paragraph" w:styleId="Heading5">
    <w:name w:val="heading 5"/>
    <w:basedOn w:val="Normal"/>
    <w:next w:val="Normal"/>
    <w:pPr>
      <w:keepNext w:val="1"/>
      <w:keepLines w:val="1"/>
      <w:spacing w:before="200" w:lineRule="auto"/>
      <w:ind w:left="3600" w:hanging="360"/>
    </w:pPr>
    <w:rPr>
      <w:rFonts w:ascii="Calibri" w:cs="Calibri" w:eastAsia="Calibri" w:hAnsi="Calibri"/>
      <w:color w:val="243f61"/>
    </w:rPr>
  </w:style>
  <w:style w:type="paragraph" w:styleId="Heading6">
    <w:name w:val="heading 6"/>
    <w:basedOn w:val="Normal"/>
    <w:next w:val="Normal"/>
    <w:pPr>
      <w:keepNext w:val="1"/>
      <w:keepLines w:val="1"/>
      <w:spacing w:before="200" w:lineRule="auto"/>
      <w:ind w:left="4320" w:hanging="360"/>
    </w:pPr>
    <w:rPr>
      <w:rFonts w:ascii="Calibri" w:cs="Calibri" w:eastAsia="Calibri" w:hAnsi="Calibri"/>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Rule="auto"/>
      <w:ind w:left="-76" w:firstLine="0"/>
    </w:pPr>
    <w:rPr>
      <w:b w:val="1"/>
      <w:color w:val="5b0038"/>
      <w:sz w:val="32"/>
      <w:szCs w:val="32"/>
    </w:rPr>
  </w:style>
  <w:style w:type="paragraph" w:styleId="Heading2">
    <w:name w:val="heading 2"/>
    <w:basedOn w:val="Normal"/>
    <w:next w:val="Normal"/>
    <w:pPr>
      <w:keepNext w:val="1"/>
      <w:keepLines w:val="1"/>
      <w:spacing w:after="160" w:before="200" w:lineRule="auto"/>
      <w:ind w:left="0" w:hanging="76"/>
    </w:pPr>
    <w:rPr>
      <w:b w:val="1"/>
      <w:color w:val="5b0038"/>
      <w:sz w:val="24"/>
      <w:szCs w:val="24"/>
    </w:rPr>
  </w:style>
  <w:style w:type="paragraph" w:styleId="Heading3">
    <w:name w:val="heading 3"/>
    <w:basedOn w:val="Normal"/>
    <w:next w:val="Normal"/>
    <w:pPr>
      <w:keepNext w:val="1"/>
      <w:keepLines w:val="1"/>
      <w:spacing w:after="160" w:before="200" w:lineRule="auto"/>
      <w:ind w:left="0" w:hanging="76"/>
    </w:pPr>
    <w:rPr>
      <w:b w:val="1"/>
      <w:color w:val="5b0038"/>
      <w:sz w:val="22"/>
      <w:szCs w:val="22"/>
    </w:rPr>
  </w:style>
  <w:style w:type="paragraph" w:styleId="Heading4">
    <w:name w:val="heading 4"/>
    <w:basedOn w:val="Normal"/>
    <w:next w:val="Normal"/>
    <w:pPr>
      <w:keepNext w:val="1"/>
      <w:keepLines w:val="1"/>
      <w:spacing w:before="200" w:lineRule="auto"/>
      <w:ind w:left="2084" w:firstLine="0"/>
    </w:pPr>
    <w:rPr>
      <w:rFonts w:ascii="Calibri" w:cs="Calibri" w:eastAsia="Calibri" w:hAnsi="Calibri"/>
      <w:b w:val="1"/>
      <w:i w:val="1"/>
      <w:color w:val="4f81bd"/>
    </w:rPr>
  </w:style>
  <w:style w:type="paragraph" w:styleId="Heading5">
    <w:name w:val="heading 5"/>
    <w:basedOn w:val="Normal"/>
    <w:next w:val="Normal"/>
    <w:pPr>
      <w:keepNext w:val="1"/>
      <w:keepLines w:val="1"/>
      <w:spacing w:before="200" w:lineRule="auto"/>
      <w:ind w:left="2804" w:firstLine="0"/>
    </w:pPr>
    <w:rPr>
      <w:rFonts w:ascii="Calibri" w:cs="Calibri" w:eastAsia="Calibri" w:hAnsi="Calibri"/>
      <w:color w:val="243f61"/>
    </w:rPr>
  </w:style>
  <w:style w:type="paragraph" w:styleId="Heading6">
    <w:name w:val="heading 6"/>
    <w:basedOn w:val="Normal"/>
    <w:next w:val="Normal"/>
    <w:pPr>
      <w:keepNext w:val="1"/>
      <w:keepLines w:val="1"/>
      <w:spacing w:before="200" w:lineRule="auto"/>
      <w:ind w:left="3524" w:firstLine="0"/>
    </w:pPr>
    <w:rPr>
      <w:rFonts w:ascii="Calibri" w:cs="Calibri" w:eastAsia="Calibri" w:hAnsi="Calibri"/>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4413"/>
    <w:rPr>
      <w:rFonts w:ascii="Myriad Pro" w:hAnsi="Myriad Pro"/>
      <w:sz w:val="22"/>
    </w:rPr>
  </w:style>
  <w:style w:type="paragraph" w:styleId="Heading1">
    <w:name w:val="heading 1"/>
    <w:basedOn w:val="Normal"/>
    <w:next w:val="Normal"/>
    <w:link w:val="Heading1Char"/>
    <w:uiPriority w:val="9"/>
    <w:qFormat w:val="1"/>
    <w:rsid w:val="00A53356"/>
    <w:pPr>
      <w:keepNext w:val="1"/>
      <w:keepLines w:val="1"/>
      <w:numPr>
        <w:numId w:val="5"/>
      </w:numPr>
      <w:spacing w:after="240" w:before="480"/>
      <w:outlineLvl w:val="0"/>
    </w:pPr>
    <w:rPr>
      <w:rFonts w:cstheme="majorBidi" w:eastAsiaTheme="majorEastAsia"/>
      <w:b w:val="1"/>
      <w:bCs w:val="1"/>
      <w:color w:val="5b0038"/>
      <w:sz w:val="32"/>
      <w:szCs w:val="32"/>
    </w:rPr>
  </w:style>
  <w:style w:type="paragraph" w:styleId="Heading2">
    <w:name w:val="heading 2"/>
    <w:basedOn w:val="Heading1"/>
    <w:next w:val="Normal"/>
    <w:link w:val="Heading2Char"/>
    <w:uiPriority w:val="9"/>
    <w:unhideWhenUsed w:val="1"/>
    <w:qFormat w:val="1"/>
    <w:rsid w:val="00D13BDF"/>
    <w:pPr>
      <w:numPr>
        <w:ilvl w:val="1"/>
      </w:numPr>
      <w:spacing w:after="160" w:before="200"/>
      <w:ind w:left="0"/>
      <w:outlineLvl w:val="1"/>
    </w:pPr>
    <w:rPr>
      <w:bCs w:val="0"/>
      <w:sz w:val="24"/>
      <w:szCs w:val="26"/>
    </w:rPr>
  </w:style>
  <w:style w:type="paragraph" w:styleId="Heading3">
    <w:name w:val="heading 3"/>
    <w:basedOn w:val="Heading2"/>
    <w:next w:val="Normal"/>
    <w:link w:val="Heading3Char"/>
    <w:uiPriority w:val="9"/>
    <w:unhideWhenUsed w:val="1"/>
    <w:qFormat w:val="1"/>
    <w:rsid w:val="00AA5C5F"/>
    <w:pPr>
      <w:numPr>
        <w:ilvl w:val="0"/>
        <w:numId w:val="0"/>
      </w:numPr>
      <w:outlineLvl w:val="2"/>
    </w:pPr>
    <w:rPr>
      <w:sz w:val="22"/>
    </w:rPr>
  </w:style>
  <w:style w:type="paragraph" w:styleId="Heading4">
    <w:name w:val="heading 4"/>
    <w:basedOn w:val="Normal"/>
    <w:next w:val="Normal"/>
    <w:link w:val="Heading4Char"/>
    <w:uiPriority w:val="9"/>
    <w:semiHidden w:val="1"/>
    <w:unhideWhenUsed w:val="1"/>
    <w:qFormat w:val="1"/>
    <w:rsid w:val="007D31DD"/>
    <w:pPr>
      <w:keepNext w:val="1"/>
      <w:keepLines w:val="1"/>
      <w:numPr>
        <w:ilvl w:val="3"/>
        <w:numId w:val="5"/>
      </w:numPr>
      <w:spacing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7D31DD"/>
    <w:pPr>
      <w:keepNext w:val="1"/>
      <w:keepLines w:val="1"/>
      <w:numPr>
        <w:ilvl w:val="4"/>
        <w:numId w:val="5"/>
      </w:numPr>
      <w:spacing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7D31DD"/>
    <w:pPr>
      <w:keepNext w:val="1"/>
      <w:keepLines w:val="1"/>
      <w:numPr>
        <w:ilvl w:val="5"/>
        <w:numId w:val="5"/>
      </w:numPr>
      <w:spacing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7D31DD"/>
    <w:pPr>
      <w:keepNext w:val="1"/>
      <w:keepLines w:val="1"/>
      <w:numPr>
        <w:ilvl w:val="6"/>
        <w:numId w:val="5"/>
      </w:numPr>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7D31DD"/>
    <w:pPr>
      <w:keepNext w:val="1"/>
      <w:keepLines w:val="1"/>
      <w:numPr>
        <w:ilvl w:val="7"/>
        <w:numId w:val="5"/>
      </w:numPr>
      <w:spacing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7D31DD"/>
    <w:pPr>
      <w:keepNext w:val="1"/>
      <w:keepLines w:val="1"/>
      <w:numPr>
        <w:ilvl w:val="8"/>
        <w:numId w:val="5"/>
      </w:numPr>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aliases w:val="Boite de Titre"/>
    <w:basedOn w:val="Normal"/>
    <w:next w:val="Normal"/>
    <w:uiPriority w:val="1"/>
    <w:qFormat w:val="1"/>
    <w:rsid w:val="00A17168"/>
    <w:rPr>
      <w:caps w:val="1"/>
      <w:color w:val="ffffff" w:themeColor="background1"/>
      <w:sz w:val="24"/>
    </w:rPr>
  </w:style>
  <w:style w:type="paragraph" w:styleId="Boitedaccroche" w:customStyle="1">
    <w:name w:val="Boite d'accroche"/>
    <w:basedOn w:val="Normal"/>
    <w:next w:val="Normal"/>
    <w:qFormat w:val="1"/>
    <w:rsid w:val="00A17168"/>
    <w:pPr>
      <w:jc w:val="both"/>
    </w:pPr>
    <w:rPr>
      <w:color w:val="ffffff" w:themeColor="background1"/>
      <w:szCs w:val="22"/>
    </w:rPr>
  </w:style>
  <w:style w:type="paragraph" w:styleId="ListParagraph">
    <w:name w:val="List Paragraph"/>
    <w:basedOn w:val="Normal"/>
    <w:uiPriority w:val="34"/>
    <w:qFormat w:val="1"/>
    <w:rsid w:val="007D31DD"/>
    <w:pPr>
      <w:numPr>
        <w:numId w:val="4"/>
      </w:numPr>
      <w:contextualSpacing w:val="1"/>
    </w:pPr>
  </w:style>
  <w:style w:type="numbering" w:styleId="Outils" w:customStyle="1">
    <w:name w:val="Outils"/>
    <w:basedOn w:val="NoList"/>
    <w:uiPriority w:val="99"/>
    <w:rsid w:val="007D31DD"/>
    <w:pPr>
      <w:numPr>
        <w:numId w:val="1"/>
      </w:numPr>
    </w:pPr>
  </w:style>
  <w:style w:type="paragraph" w:styleId="BalloonText">
    <w:name w:val="Balloon Text"/>
    <w:basedOn w:val="Normal"/>
    <w:link w:val="BalloonTextChar"/>
    <w:uiPriority w:val="99"/>
    <w:semiHidden w:val="1"/>
    <w:unhideWhenUsed w:val="1"/>
    <w:rsid w:val="00BB04B5"/>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BB04B5"/>
    <w:rPr>
      <w:rFonts w:ascii="Lucida Grande" w:cs="Lucida Grande" w:hAnsi="Lucida Grande"/>
      <w:sz w:val="18"/>
      <w:szCs w:val="18"/>
    </w:rPr>
  </w:style>
  <w:style w:type="paragraph" w:styleId="Boiteaoutils" w:customStyle="1">
    <w:name w:val="Boite a outils"/>
    <w:basedOn w:val="ListParagraph"/>
    <w:qFormat w:val="1"/>
    <w:rsid w:val="0081042D"/>
    <w:pPr>
      <w:numPr>
        <w:numId w:val="30"/>
      </w:numPr>
      <w:spacing w:line="360" w:lineRule="auto"/>
      <w:contextualSpacing w:val="0"/>
    </w:pPr>
    <w:rPr>
      <w:color w:val="000000" w:themeColor="text1"/>
    </w:rPr>
  </w:style>
  <w:style w:type="character" w:styleId="Heading1Char" w:customStyle="1">
    <w:name w:val="Heading 1 Char"/>
    <w:basedOn w:val="DefaultParagraphFont"/>
    <w:link w:val="Heading1"/>
    <w:uiPriority w:val="9"/>
    <w:rsid w:val="00A53356"/>
    <w:rPr>
      <w:rFonts w:ascii="Myriad Pro" w:hAnsi="Myriad Pro" w:cstheme="majorBidi" w:eastAsiaTheme="majorEastAsia"/>
      <w:b w:val="1"/>
      <w:bCs w:val="1"/>
      <w:color w:val="5b0038"/>
      <w:sz w:val="32"/>
      <w:szCs w:val="32"/>
    </w:rPr>
  </w:style>
  <w:style w:type="paragraph" w:styleId="CorpsdeTexte" w:customStyle="1">
    <w:name w:val="Corps de Texte"/>
    <w:basedOn w:val="Normal"/>
    <w:next w:val="Normal"/>
    <w:qFormat w:val="1"/>
    <w:rsid w:val="00671873"/>
    <w:pPr>
      <w:jc w:val="both"/>
    </w:pPr>
  </w:style>
  <w:style w:type="paragraph" w:styleId="ListBullet">
    <w:name w:val="List Bullet"/>
    <w:basedOn w:val="Normal"/>
    <w:uiPriority w:val="99"/>
    <w:unhideWhenUsed w:val="1"/>
    <w:rsid w:val="007D31DD"/>
    <w:pPr>
      <w:numPr>
        <w:numId w:val="2"/>
      </w:numPr>
      <w:contextualSpacing w:val="1"/>
    </w:pPr>
  </w:style>
  <w:style w:type="paragraph" w:styleId="Listeapoint" w:customStyle="1">
    <w:name w:val="Liste a point"/>
    <w:basedOn w:val="Boiteaoutils"/>
    <w:next w:val="Normal"/>
    <w:qFormat w:val="1"/>
    <w:rsid w:val="00841DAE"/>
    <w:pPr>
      <w:numPr>
        <w:numId w:val="22"/>
      </w:numPr>
      <w:spacing w:after="240" w:before="240" w:line="240" w:lineRule="auto"/>
      <w:jc w:val="both"/>
    </w:pPr>
  </w:style>
  <w:style w:type="character" w:styleId="Heading2Char" w:customStyle="1">
    <w:name w:val="Heading 2 Char"/>
    <w:basedOn w:val="DefaultParagraphFont"/>
    <w:link w:val="Heading2"/>
    <w:uiPriority w:val="9"/>
    <w:rsid w:val="00D13BDF"/>
    <w:rPr>
      <w:rFonts w:ascii="Myriad Pro" w:hAnsi="Myriad Pro" w:cstheme="majorBidi" w:eastAsiaTheme="majorEastAsia"/>
      <w:b w:val="1"/>
      <w:color w:val="b1b628"/>
      <w:szCs w:val="26"/>
    </w:rPr>
  </w:style>
  <w:style w:type="character" w:styleId="Hyperlink">
    <w:name w:val="Hyperlink"/>
    <w:basedOn w:val="DefaultParagraphFont"/>
    <w:uiPriority w:val="99"/>
    <w:unhideWhenUsed w:val="1"/>
    <w:rsid w:val="001852A4"/>
    <w:rPr>
      <w:color w:val="0000ff" w:themeColor="hyperlink"/>
      <w:u w:val="single"/>
    </w:rPr>
  </w:style>
  <w:style w:type="paragraph" w:styleId="BoiteBasdePage" w:customStyle="1">
    <w:name w:val="Boite Bas de Page"/>
    <w:basedOn w:val="Normal"/>
    <w:qFormat w:val="1"/>
    <w:rsid w:val="00456708"/>
    <w:rPr>
      <w:color w:val="000000" w:themeColor="text1"/>
      <w:sz w:val="20"/>
    </w:rPr>
  </w:style>
  <w:style w:type="paragraph" w:styleId="Header">
    <w:name w:val="header"/>
    <w:basedOn w:val="Normal"/>
    <w:link w:val="HeaderChar"/>
    <w:uiPriority w:val="99"/>
    <w:unhideWhenUsed w:val="1"/>
    <w:rsid w:val="00901661"/>
    <w:pPr>
      <w:tabs>
        <w:tab w:val="center" w:pos="4320"/>
        <w:tab w:val="right" w:pos="8640"/>
      </w:tabs>
    </w:pPr>
  </w:style>
  <w:style w:type="character" w:styleId="HeaderChar" w:customStyle="1">
    <w:name w:val="Header Char"/>
    <w:basedOn w:val="DefaultParagraphFont"/>
    <w:link w:val="Header"/>
    <w:uiPriority w:val="99"/>
    <w:rsid w:val="00901661"/>
    <w:rPr>
      <w:rFonts w:ascii="Myriad Pro" w:hAnsi="Myriad Pro"/>
      <w:sz w:val="22"/>
    </w:rPr>
  </w:style>
  <w:style w:type="paragraph" w:styleId="Footer">
    <w:name w:val="footer"/>
    <w:basedOn w:val="Normal"/>
    <w:link w:val="FooterChar"/>
    <w:uiPriority w:val="99"/>
    <w:unhideWhenUsed w:val="1"/>
    <w:rsid w:val="00901661"/>
    <w:pPr>
      <w:tabs>
        <w:tab w:val="center" w:pos="4320"/>
        <w:tab w:val="right" w:pos="8640"/>
      </w:tabs>
    </w:pPr>
  </w:style>
  <w:style w:type="character" w:styleId="FooterChar" w:customStyle="1">
    <w:name w:val="Footer Char"/>
    <w:basedOn w:val="DefaultParagraphFont"/>
    <w:link w:val="Footer"/>
    <w:uiPriority w:val="99"/>
    <w:rsid w:val="00901661"/>
    <w:rPr>
      <w:rFonts w:ascii="Myriad Pro" w:hAnsi="Myriad Pro"/>
      <w:sz w:val="22"/>
    </w:rPr>
  </w:style>
  <w:style w:type="table" w:styleId="TableGrid">
    <w:name w:val="Table Grid"/>
    <w:basedOn w:val="TableNormal"/>
    <w:uiPriority w:val="59"/>
    <w:rsid w:val="0090166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unhideWhenUsed w:val="1"/>
    <w:rsid w:val="008710A8"/>
  </w:style>
  <w:style w:type="character" w:styleId="Heading3Char" w:customStyle="1">
    <w:name w:val="Heading 3 Char"/>
    <w:basedOn w:val="DefaultParagraphFont"/>
    <w:link w:val="Heading3"/>
    <w:uiPriority w:val="9"/>
    <w:rsid w:val="00AA5C5F"/>
    <w:rPr>
      <w:rFonts w:ascii="Myriad Pro" w:hAnsi="Myriad Pro" w:cstheme="majorBidi" w:eastAsiaTheme="majorEastAsia"/>
      <w:b w:val="1"/>
      <w:bCs w:val="1"/>
      <w:color w:val="f79646" w:themeColor="accent6"/>
      <w:sz w:val="22"/>
      <w:szCs w:val="26"/>
    </w:rPr>
  </w:style>
  <w:style w:type="numbering" w:styleId="Multiligne" w:customStyle="1">
    <w:name w:val="Multiligne"/>
    <w:basedOn w:val="NoList"/>
    <w:uiPriority w:val="99"/>
    <w:rsid w:val="00FE055F"/>
    <w:pPr>
      <w:numPr>
        <w:numId w:val="6"/>
      </w:numPr>
    </w:pPr>
  </w:style>
  <w:style w:type="character" w:styleId="Heading4Char" w:customStyle="1">
    <w:name w:val="Heading 4 Char"/>
    <w:basedOn w:val="DefaultParagraphFont"/>
    <w:link w:val="Heading4"/>
    <w:uiPriority w:val="9"/>
    <w:semiHidden w:val="1"/>
    <w:rsid w:val="007D31DD"/>
    <w:rPr>
      <w:rFonts w:asciiTheme="majorHAnsi" w:cstheme="majorBidi" w:eastAsiaTheme="majorEastAsia" w:hAnsiTheme="majorHAnsi"/>
      <w:b w:val="1"/>
      <w:bCs w:val="1"/>
      <w:i w:val="1"/>
      <w:iCs w:val="1"/>
      <w:color w:val="4f81bd" w:themeColor="accent1"/>
      <w:sz w:val="22"/>
    </w:rPr>
  </w:style>
  <w:style w:type="character" w:styleId="Heading5Char" w:customStyle="1">
    <w:name w:val="Heading 5 Char"/>
    <w:basedOn w:val="DefaultParagraphFont"/>
    <w:link w:val="Heading5"/>
    <w:uiPriority w:val="9"/>
    <w:semiHidden w:val="1"/>
    <w:rsid w:val="007D31DD"/>
    <w:rPr>
      <w:rFonts w:asciiTheme="majorHAnsi" w:cstheme="majorBidi" w:eastAsiaTheme="majorEastAsia" w:hAnsiTheme="majorHAnsi"/>
      <w:color w:val="243f60" w:themeColor="accent1" w:themeShade="00007F"/>
      <w:sz w:val="22"/>
    </w:rPr>
  </w:style>
  <w:style w:type="character" w:styleId="Heading6Char" w:customStyle="1">
    <w:name w:val="Heading 6 Char"/>
    <w:basedOn w:val="DefaultParagraphFont"/>
    <w:link w:val="Heading6"/>
    <w:uiPriority w:val="9"/>
    <w:semiHidden w:val="1"/>
    <w:rsid w:val="007D31DD"/>
    <w:rPr>
      <w:rFonts w:asciiTheme="majorHAnsi" w:cstheme="majorBidi" w:eastAsiaTheme="majorEastAsia" w:hAnsiTheme="majorHAnsi"/>
      <w:i w:val="1"/>
      <w:iCs w:val="1"/>
      <w:color w:val="243f60" w:themeColor="accent1" w:themeShade="00007F"/>
      <w:sz w:val="22"/>
    </w:rPr>
  </w:style>
  <w:style w:type="character" w:styleId="Heading7Char" w:customStyle="1">
    <w:name w:val="Heading 7 Char"/>
    <w:basedOn w:val="DefaultParagraphFont"/>
    <w:link w:val="Heading7"/>
    <w:uiPriority w:val="9"/>
    <w:semiHidden w:val="1"/>
    <w:rsid w:val="007D31DD"/>
    <w:rPr>
      <w:rFonts w:asciiTheme="majorHAnsi" w:cstheme="majorBidi" w:eastAsiaTheme="majorEastAsia" w:hAnsiTheme="majorHAnsi"/>
      <w:i w:val="1"/>
      <w:iCs w:val="1"/>
      <w:color w:val="404040" w:themeColor="text1" w:themeTint="0000BF"/>
      <w:sz w:val="22"/>
    </w:rPr>
  </w:style>
  <w:style w:type="character" w:styleId="Heading8Char" w:customStyle="1">
    <w:name w:val="Heading 8 Char"/>
    <w:basedOn w:val="DefaultParagraphFont"/>
    <w:link w:val="Heading8"/>
    <w:uiPriority w:val="9"/>
    <w:semiHidden w:val="1"/>
    <w:rsid w:val="007D31DD"/>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7D31DD"/>
    <w:rPr>
      <w:rFonts w:asciiTheme="majorHAnsi" w:cstheme="majorBidi" w:eastAsiaTheme="majorEastAsia" w:hAnsiTheme="majorHAnsi"/>
      <w:i w:val="1"/>
      <w:iCs w:val="1"/>
      <w:color w:val="404040" w:themeColor="text1" w:themeTint="0000BF"/>
      <w:sz w:val="20"/>
      <w:szCs w:val="20"/>
    </w:rPr>
  </w:style>
  <w:style w:type="paragraph" w:styleId="LiensUtilestitre" w:customStyle="1">
    <w:name w:val="Liens Utiles (titre)"/>
    <w:basedOn w:val="Footer"/>
    <w:qFormat w:val="1"/>
    <w:rsid w:val="0081042D"/>
    <w:pPr>
      <w:tabs>
        <w:tab w:val="clear" w:pos="4320"/>
        <w:tab w:val="clear" w:pos="8640"/>
        <w:tab w:val="left" w:pos="284"/>
        <w:tab w:val="right" w:pos="9639"/>
      </w:tabs>
      <w:spacing w:after="480" w:before="480"/>
      <w:ind w:right="418"/>
    </w:pPr>
    <w:rPr>
      <w:smallCaps w:val="1"/>
      <w:color w:val="6cc1c2"/>
      <w:sz w:val="24"/>
      <w:u w:val="single"/>
    </w:rPr>
  </w:style>
  <w:style w:type="paragraph" w:styleId="LiensUtilesliste" w:customStyle="1">
    <w:name w:val="Liens Utiles (liste)"/>
    <w:basedOn w:val="Footer"/>
    <w:qFormat w:val="1"/>
    <w:rsid w:val="0081042D"/>
    <w:pPr>
      <w:numPr>
        <w:numId w:val="9"/>
      </w:numPr>
      <w:spacing w:line="480" w:lineRule="auto"/>
      <w:ind w:right="418"/>
    </w:pPr>
    <w:rPr>
      <w:sz w:val="20"/>
      <w:szCs w:val="20"/>
    </w:rPr>
  </w:style>
  <w:style w:type="character" w:styleId="FollowedHyperlink">
    <w:name w:val="FollowedHyperlink"/>
    <w:basedOn w:val="DefaultParagraphFont"/>
    <w:uiPriority w:val="99"/>
    <w:semiHidden w:val="1"/>
    <w:unhideWhenUsed w:val="1"/>
    <w:rsid w:val="00545A37"/>
    <w:rPr>
      <w:color w:val="800080" w:themeColor="followedHyperlink"/>
      <w:u w:val="single"/>
    </w:rPr>
  </w:style>
  <w:style w:type="paragraph" w:styleId="Pieddepage1" w:customStyle="1">
    <w:name w:val="Pied de page1"/>
    <w:basedOn w:val="Footer"/>
    <w:qFormat w:val="1"/>
    <w:rsid w:val="00545A37"/>
    <w:pPr>
      <w:ind w:left="709" w:right="418"/>
    </w:pPr>
    <w:rPr>
      <w:noProof w:val="1"/>
      <w:color w:val="808080" w:themeColor="background1" w:themeShade="000080"/>
      <w:sz w:val="16"/>
      <w:szCs w:val="16"/>
    </w:rPr>
  </w:style>
  <w:style w:type="paragraph" w:styleId="NormalWeb">
    <w:name w:val="Normal (Web)"/>
    <w:basedOn w:val="Normal"/>
    <w:uiPriority w:val="99"/>
    <w:semiHidden w:val="1"/>
    <w:unhideWhenUsed w:val="1"/>
    <w:rsid w:val="002108FD"/>
    <w:pPr>
      <w:spacing w:after="100" w:afterAutospacing="1" w:before="100" w:beforeAutospacing="1"/>
    </w:pPr>
    <w:rPr>
      <w:rFonts w:ascii="Times New Roman" w:cs="Times New Roman" w:eastAsia="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6XzOtbt8S+Dt9Pbpqjg8H+T6tQ==">AMUW2mU7cs6Sw2+StrE1VmdnCITuc3533gyquwdltvoGLB5+SO9HiqgrmONrbTM1IFzUqMI8Rx+p3XZjnfUbp4MHm3f3aimnrQRpk5GBxFJ9KRtdMUC72wA=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2020-09-19T08:56:00Z</dcterms:created>
  <dc:creator>Magali Horbert</dc:creator>
</cp:coreProperties>
</file>